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Ystad kommunfullmäktige</w:t>
      </w:r>
    </w:p>
    <w:p>
      <w:pPr>
        <w:pStyle w:val="Heading1"/>
      </w:pPr>
      <w:r>
        <w:t xml:space="preserve">Fler bostäder med blandad upplåtelseform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Ystad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Ystad har bostadsbrist med 450 personer i kö hos Ystadbostäder. Endast 12 % av nyproduktionen är hyresrätter. Ungdomar och nyanlända drabbas hårdast.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Ystad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anta mål om 250 nya bostäder per år till 2030.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kräva minst 30 % hyresrätter i nya detaljplaner.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korta planprocessen till max 18 månader.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prioritera blandade stadsdelar i Österport och Sövestad.</w:t>
      </w:r>
    </w:p>
    <w:p>
      <w:pPr>
        <w:spacing w:before="360"/>
      </w:pPr>
    </w:p>
    <w:p>
      <w:r>
        <w:t xml:space="preserve">Ystad,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Ystad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2026-07-14T05:43:59.944Z</dcterms:created>
  <dcterms:modified xsi:type="dcterms:W3CDTF">2026-07-14T05:43:59.944Z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